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93E" w:rsidRPr="005F138D" w:rsidRDefault="00F6593E" w:rsidP="00F6593E">
      <w:pPr>
        <w:rPr>
          <w:rFonts w:ascii="Times New Roman" w:hAnsi="Times New Roman"/>
          <w:b/>
          <w:sz w:val="24"/>
          <w:szCs w:val="24"/>
        </w:rPr>
      </w:pPr>
      <w:bookmarkStart w:id="0" w:name="_GoBack"/>
      <w:r w:rsidRPr="005F138D">
        <w:rPr>
          <w:rFonts w:ascii="Times New Roman" w:hAnsi="Times New Roman"/>
          <w:b/>
          <w:sz w:val="24"/>
          <w:szCs w:val="24"/>
        </w:rPr>
        <w:t xml:space="preserve">AMV: Board Resolution </w:t>
      </w:r>
    </w:p>
    <w:p w:rsidR="00F6593E" w:rsidRPr="005F138D" w:rsidRDefault="00F6593E" w:rsidP="00F6593E">
      <w:pPr>
        <w:rPr>
          <w:rFonts w:ascii="Times New Roman" w:hAnsi="Times New Roman"/>
          <w:sz w:val="24"/>
          <w:szCs w:val="24"/>
        </w:rPr>
      </w:pPr>
      <w:r w:rsidRPr="005F138D">
        <w:rPr>
          <w:rFonts w:ascii="Times New Roman" w:hAnsi="Times New Roman"/>
          <w:sz w:val="24"/>
          <w:szCs w:val="24"/>
        </w:rPr>
        <w:t>On 21 Sep 2020, American Vietnamese Biotech Incorporation announced the Board Resolution No.2109/NQ- HDQT as follows:</w:t>
      </w:r>
    </w:p>
    <w:p w:rsidR="00F6593E" w:rsidRPr="005F138D" w:rsidRDefault="00F6593E" w:rsidP="00F6593E">
      <w:pPr>
        <w:rPr>
          <w:rFonts w:ascii="Times New Roman" w:hAnsi="Times New Roman"/>
          <w:sz w:val="24"/>
          <w:szCs w:val="24"/>
        </w:rPr>
      </w:pPr>
      <w:r w:rsidRPr="005F138D">
        <w:rPr>
          <w:rFonts w:ascii="Times New Roman" w:hAnsi="Times New Roman"/>
          <w:sz w:val="24"/>
          <w:szCs w:val="24"/>
        </w:rPr>
        <w:t>Article 1: Approve the implementation of the plan on share issuance for existing shareholders belonging to the statement No.01/ 2020/ TT/ AMV/ DHDCD on issuing share to increase the charter capital, as follows:</w:t>
      </w:r>
    </w:p>
    <w:tbl>
      <w:tblPr>
        <w:tblStyle w:val="TableGrid"/>
        <w:tblW w:w="0" w:type="auto"/>
        <w:tblLook w:val="04A0" w:firstRow="1" w:lastRow="0" w:firstColumn="1" w:lastColumn="0" w:noHBand="0" w:noVBand="1"/>
      </w:tblPr>
      <w:tblGrid>
        <w:gridCol w:w="2830"/>
        <w:gridCol w:w="5812"/>
      </w:tblGrid>
      <w:tr w:rsidR="00F6593E" w:rsidRPr="005F138D" w:rsidTr="00F6593E">
        <w:tc>
          <w:tcPr>
            <w:tcW w:w="2830" w:type="dxa"/>
          </w:tcPr>
          <w:p w:rsidR="00F6593E" w:rsidRPr="005F138D" w:rsidRDefault="00F6593E" w:rsidP="00F6593E">
            <w:pPr>
              <w:rPr>
                <w:rFonts w:ascii="Times New Roman" w:hAnsi="Times New Roman"/>
                <w:sz w:val="24"/>
                <w:szCs w:val="24"/>
              </w:rPr>
            </w:pPr>
            <w:r w:rsidRPr="005F138D">
              <w:rPr>
                <w:rFonts w:ascii="Times New Roman" w:hAnsi="Times New Roman"/>
                <w:sz w:val="24"/>
                <w:szCs w:val="24"/>
              </w:rPr>
              <w:t>1. Name of the issuer</w:t>
            </w:r>
          </w:p>
        </w:tc>
        <w:tc>
          <w:tcPr>
            <w:tcW w:w="5812" w:type="dxa"/>
          </w:tcPr>
          <w:p w:rsidR="00F6593E" w:rsidRPr="005F138D" w:rsidRDefault="00F6593E" w:rsidP="00F6593E">
            <w:pPr>
              <w:rPr>
                <w:rFonts w:ascii="Times New Roman" w:hAnsi="Times New Roman"/>
                <w:sz w:val="24"/>
                <w:szCs w:val="24"/>
              </w:rPr>
            </w:pPr>
            <w:r w:rsidRPr="005F138D">
              <w:rPr>
                <w:rFonts w:ascii="Times New Roman" w:hAnsi="Times New Roman"/>
                <w:sz w:val="24"/>
                <w:szCs w:val="24"/>
              </w:rPr>
              <w:t>American Vietnamese Biotech Incorporation</w:t>
            </w:r>
          </w:p>
        </w:tc>
      </w:tr>
      <w:tr w:rsidR="00F6593E" w:rsidRPr="005F138D" w:rsidTr="00F6593E">
        <w:tc>
          <w:tcPr>
            <w:tcW w:w="2830" w:type="dxa"/>
          </w:tcPr>
          <w:p w:rsidR="00F6593E" w:rsidRPr="005F138D" w:rsidRDefault="00F6593E" w:rsidP="00F6593E">
            <w:pPr>
              <w:rPr>
                <w:rFonts w:ascii="Times New Roman" w:hAnsi="Times New Roman"/>
                <w:sz w:val="24"/>
                <w:szCs w:val="24"/>
              </w:rPr>
            </w:pPr>
            <w:r w:rsidRPr="005F138D">
              <w:rPr>
                <w:rFonts w:ascii="Times New Roman" w:hAnsi="Times New Roman"/>
                <w:sz w:val="24"/>
                <w:szCs w:val="24"/>
              </w:rPr>
              <w:t>2. Type of share</w:t>
            </w:r>
          </w:p>
        </w:tc>
        <w:tc>
          <w:tcPr>
            <w:tcW w:w="5812" w:type="dxa"/>
          </w:tcPr>
          <w:p w:rsidR="00F6593E" w:rsidRPr="005F138D" w:rsidRDefault="00F6593E" w:rsidP="00F6593E">
            <w:pPr>
              <w:rPr>
                <w:rFonts w:ascii="Times New Roman" w:hAnsi="Times New Roman"/>
                <w:sz w:val="24"/>
                <w:szCs w:val="24"/>
              </w:rPr>
            </w:pPr>
            <w:r w:rsidRPr="005F138D">
              <w:rPr>
                <w:rFonts w:ascii="Times New Roman" w:hAnsi="Times New Roman"/>
                <w:sz w:val="24"/>
                <w:szCs w:val="24"/>
              </w:rPr>
              <w:t>Common</w:t>
            </w:r>
          </w:p>
        </w:tc>
      </w:tr>
      <w:tr w:rsidR="00F6593E" w:rsidRPr="005F138D" w:rsidTr="00F6593E">
        <w:tc>
          <w:tcPr>
            <w:tcW w:w="2830" w:type="dxa"/>
          </w:tcPr>
          <w:p w:rsidR="00F6593E" w:rsidRPr="005F138D" w:rsidRDefault="00F6593E" w:rsidP="00F6593E">
            <w:pPr>
              <w:rPr>
                <w:rFonts w:ascii="Times New Roman" w:hAnsi="Times New Roman"/>
                <w:sz w:val="24"/>
                <w:szCs w:val="24"/>
              </w:rPr>
            </w:pPr>
            <w:r w:rsidRPr="005F138D">
              <w:rPr>
                <w:rFonts w:ascii="Times New Roman" w:hAnsi="Times New Roman"/>
                <w:sz w:val="24"/>
                <w:szCs w:val="24"/>
              </w:rPr>
              <w:t>3. Par value</w:t>
            </w:r>
          </w:p>
        </w:tc>
        <w:tc>
          <w:tcPr>
            <w:tcW w:w="5812" w:type="dxa"/>
          </w:tcPr>
          <w:p w:rsidR="00F6593E" w:rsidRPr="005F138D" w:rsidRDefault="00F6593E" w:rsidP="00F6593E">
            <w:pPr>
              <w:rPr>
                <w:rFonts w:ascii="Times New Roman" w:hAnsi="Times New Roman"/>
                <w:sz w:val="24"/>
                <w:szCs w:val="24"/>
              </w:rPr>
            </w:pPr>
            <w:r w:rsidRPr="005F138D">
              <w:rPr>
                <w:rFonts w:ascii="Times New Roman" w:hAnsi="Times New Roman"/>
                <w:sz w:val="24"/>
                <w:szCs w:val="24"/>
              </w:rPr>
              <w:t>10,000 VND/share</w:t>
            </w:r>
          </w:p>
        </w:tc>
      </w:tr>
      <w:tr w:rsidR="00F6593E" w:rsidRPr="005F138D" w:rsidTr="00F6593E">
        <w:tc>
          <w:tcPr>
            <w:tcW w:w="2830" w:type="dxa"/>
          </w:tcPr>
          <w:p w:rsidR="00F6593E" w:rsidRPr="005F138D" w:rsidRDefault="00F6593E" w:rsidP="00F6593E">
            <w:pPr>
              <w:rPr>
                <w:rFonts w:ascii="Times New Roman" w:hAnsi="Times New Roman"/>
                <w:sz w:val="24"/>
                <w:szCs w:val="24"/>
              </w:rPr>
            </w:pPr>
            <w:r w:rsidRPr="005F138D">
              <w:rPr>
                <w:rFonts w:ascii="Times New Roman" w:hAnsi="Times New Roman"/>
                <w:sz w:val="24"/>
                <w:szCs w:val="24"/>
              </w:rPr>
              <w:t>4. Number of share issued</w:t>
            </w:r>
          </w:p>
        </w:tc>
        <w:tc>
          <w:tcPr>
            <w:tcW w:w="5812" w:type="dxa"/>
          </w:tcPr>
          <w:p w:rsidR="00F6593E" w:rsidRPr="005F138D" w:rsidRDefault="00F6593E" w:rsidP="00F6593E">
            <w:pPr>
              <w:rPr>
                <w:rFonts w:ascii="Times New Roman" w:hAnsi="Times New Roman"/>
                <w:sz w:val="24"/>
                <w:szCs w:val="24"/>
              </w:rPr>
            </w:pPr>
            <w:r w:rsidRPr="005F138D">
              <w:rPr>
                <w:rFonts w:ascii="Times New Roman" w:hAnsi="Times New Roman"/>
                <w:sz w:val="24"/>
                <w:szCs w:val="24"/>
              </w:rPr>
              <w:t>37,962,045 shares</w:t>
            </w:r>
          </w:p>
        </w:tc>
      </w:tr>
      <w:tr w:rsidR="00F6593E" w:rsidRPr="005F138D" w:rsidTr="00F6593E">
        <w:tc>
          <w:tcPr>
            <w:tcW w:w="2830" w:type="dxa"/>
          </w:tcPr>
          <w:p w:rsidR="00F6593E" w:rsidRPr="005F138D" w:rsidRDefault="00F6593E" w:rsidP="00F6593E">
            <w:pPr>
              <w:rPr>
                <w:rFonts w:ascii="Times New Roman" w:hAnsi="Times New Roman"/>
                <w:sz w:val="24"/>
                <w:szCs w:val="24"/>
              </w:rPr>
            </w:pPr>
            <w:r w:rsidRPr="005F138D">
              <w:rPr>
                <w:rFonts w:ascii="Times New Roman" w:hAnsi="Times New Roman"/>
                <w:sz w:val="24"/>
                <w:szCs w:val="24"/>
              </w:rPr>
              <w:t>5. Total number of existing shares</w:t>
            </w:r>
          </w:p>
        </w:tc>
        <w:tc>
          <w:tcPr>
            <w:tcW w:w="5812" w:type="dxa"/>
          </w:tcPr>
          <w:p w:rsidR="00F6593E" w:rsidRPr="005F138D" w:rsidRDefault="00F6593E" w:rsidP="00F6593E">
            <w:pPr>
              <w:rPr>
                <w:rFonts w:ascii="Times New Roman" w:hAnsi="Times New Roman"/>
                <w:sz w:val="24"/>
                <w:szCs w:val="24"/>
              </w:rPr>
            </w:pPr>
            <w:r w:rsidRPr="005F138D">
              <w:rPr>
                <w:rFonts w:ascii="Times New Roman" w:hAnsi="Times New Roman"/>
                <w:sz w:val="24"/>
                <w:szCs w:val="24"/>
              </w:rPr>
              <w:t>37,962,045 shares</w:t>
            </w:r>
          </w:p>
        </w:tc>
      </w:tr>
      <w:tr w:rsidR="00F6593E" w:rsidRPr="005F138D" w:rsidTr="00F6593E">
        <w:tc>
          <w:tcPr>
            <w:tcW w:w="2830" w:type="dxa"/>
          </w:tcPr>
          <w:p w:rsidR="00F6593E" w:rsidRPr="005F138D" w:rsidRDefault="00F6593E" w:rsidP="00F6593E">
            <w:pPr>
              <w:rPr>
                <w:rFonts w:ascii="Times New Roman" w:hAnsi="Times New Roman"/>
                <w:sz w:val="24"/>
                <w:szCs w:val="24"/>
              </w:rPr>
            </w:pPr>
            <w:r w:rsidRPr="005F138D">
              <w:rPr>
                <w:rFonts w:ascii="Times New Roman" w:hAnsi="Times New Roman"/>
                <w:sz w:val="24"/>
                <w:szCs w:val="24"/>
              </w:rPr>
              <w:t>6. Number of treasury share</w:t>
            </w:r>
          </w:p>
        </w:tc>
        <w:tc>
          <w:tcPr>
            <w:tcW w:w="5812" w:type="dxa"/>
          </w:tcPr>
          <w:p w:rsidR="00F6593E" w:rsidRPr="005F138D" w:rsidRDefault="00F6593E" w:rsidP="00F6593E">
            <w:pPr>
              <w:rPr>
                <w:rFonts w:ascii="Times New Roman" w:hAnsi="Times New Roman"/>
                <w:sz w:val="24"/>
                <w:szCs w:val="24"/>
              </w:rPr>
            </w:pPr>
            <w:r w:rsidRPr="005F138D">
              <w:rPr>
                <w:rFonts w:ascii="Times New Roman" w:hAnsi="Times New Roman"/>
                <w:sz w:val="24"/>
                <w:szCs w:val="24"/>
              </w:rPr>
              <w:t>0 share</w:t>
            </w:r>
          </w:p>
        </w:tc>
      </w:tr>
      <w:tr w:rsidR="007D72C5" w:rsidRPr="005F138D" w:rsidTr="00F6593E">
        <w:tc>
          <w:tcPr>
            <w:tcW w:w="2830"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7. Number of share expected to be issued</w:t>
            </w:r>
          </w:p>
        </w:tc>
        <w:tc>
          <w:tcPr>
            <w:tcW w:w="5812"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37,962,045 shares</w:t>
            </w:r>
          </w:p>
        </w:tc>
      </w:tr>
      <w:tr w:rsidR="007D72C5" w:rsidRPr="005F138D" w:rsidTr="00F6593E">
        <w:tc>
          <w:tcPr>
            <w:tcW w:w="2830"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 xml:space="preserve">8. Total amount of issuance </w:t>
            </w:r>
          </w:p>
        </w:tc>
        <w:tc>
          <w:tcPr>
            <w:tcW w:w="5812"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VND 379,620,450,000</w:t>
            </w:r>
          </w:p>
        </w:tc>
      </w:tr>
      <w:tr w:rsidR="007D72C5" w:rsidRPr="005F138D" w:rsidTr="00F6593E">
        <w:tc>
          <w:tcPr>
            <w:tcW w:w="2830"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9. Issuing price</w:t>
            </w:r>
          </w:p>
        </w:tc>
        <w:tc>
          <w:tcPr>
            <w:tcW w:w="5812"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10,000 VND/share</w:t>
            </w:r>
          </w:p>
        </w:tc>
      </w:tr>
      <w:tr w:rsidR="007D72C5" w:rsidRPr="005F138D" w:rsidTr="00F6593E">
        <w:tc>
          <w:tcPr>
            <w:tcW w:w="2830"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10. Total amount of money obtained</w:t>
            </w:r>
          </w:p>
        </w:tc>
        <w:tc>
          <w:tcPr>
            <w:tcW w:w="5812"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VND 379,620,450,000</w:t>
            </w:r>
          </w:p>
        </w:tc>
      </w:tr>
      <w:tr w:rsidR="007D72C5" w:rsidRPr="005F138D" w:rsidTr="00F6593E">
        <w:tc>
          <w:tcPr>
            <w:tcW w:w="2830"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11. Purpose of the issuance</w:t>
            </w:r>
          </w:p>
        </w:tc>
        <w:tc>
          <w:tcPr>
            <w:tcW w:w="5812"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 xml:space="preserve">Total amount of money obtained from the share issuance </w:t>
            </w:r>
            <w:proofErr w:type="gramStart"/>
            <w:r w:rsidRPr="005F138D">
              <w:rPr>
                <w:rFonts w:ascii="Times New Roman" w:hAnsi="Times New Roman"/>
                <w:sz w:val="24"/>
                <w:szCs w:val="24"/>
              </w:rPr>
              <w:t>is expected</w:t>
            </w:r>
            <w:proofErr w:type="gramEnd"/>
            <w:r w:rsidRPr="005F138D">
              <w:rPr>
                <w:rFonts w:ascii="Times New Roman" w:hAnsi="Times New Roman"/>
                <w:sz w:val="24"/>
                <w:szCs w:val="24"/>
              </w:rPr>
              <w:t xml:space="preserve"> to be VND 379,620,450,000. It will be invested to the projects which the company has implementing and supplementing to the working capital for business of the company</w:t>
            </w:r>
          </w:p>
          <w:p w:rsidR="007D72C5" w:rsidRPr="005F138D" w:rsidRDefault="007D72C5" w:rsidP="007D72C5">
            <w:pPr>
              <w:rPr>
                <w:rFonts w:ascii="Times New Roman" w:hAnsi="Times New Roman"/>
                <w:sz w:val="24"/>
                <w:szCs w:val="24"/>
              </w:rPr>
            </w:pPr>
            <w:r w:rsidRPr="005F138D">
              <w:rPr>
                <w:rFonts w:ascii="Times New Roman" w:hAnsi="Times New Roman"/>
                <w:sz w:val="24"/>
                <w:szCs w:val="24"/>
              </w:rPr>
              <w:t xml:space="preserve">- Invest to build medical waste treatment zone in </w:t>
            </w:r>
            <w:proofErr w:type="spellStart"/>
            <w:r w:rsidRPr="005F138D">
              <w:rPr>
                <w:rFonts w:ascii="Times New Roman" w:hAnsi="Times New Roman"/>
                <w:sz w:val="24"/>
                <w:szCs w:val="24"/>
              </w:rPr>
              <w:t>Ninh</w:t>
            </w:r>
            <w:proofErr w:type="spellEnd"/>
            <w:r w:rsidRPr="005F138D">
              <w:rPr>
                <w:rFonts w:ascii="Times New Roman" w:hAnsi="Times New Roman"/>
                <w:sz w:val="24"/>
                <w:szCs w:val="24"/>
              </w:rPr>
              <w:t xml:space="preserve"> </w:t>
            </w:r>
            <w:proofErr w:type="spellStart"/>
            <w:r w:rsidRPr="005F138D">
              <w:rPr>
                <w:rFonts w:ascii="Times New Roman" w:hAnsi="Times New Roman"/>
                <w:sz w:val="24"/>
                <w:szCs w:val="24"/>
              </w:rPr>
              <w:t>Binh</w:t>
            </w:r>
            <w:proofErr w:type="spellEnd"/>
            <w:r w:rsidRPr="005F138D">
              <w:rPr>
                <w:rFonts w:ascii="Times New Roman" w:hAnsi="Times New Roman"/>
                <w:sz w:val="24"/>
                <w:szCs w:val="24"/>
              </w:rPr>
              <w:t xml:space="preserve"> Province</w:t>
            </w:r>
          </w:p>
          <w:p w:rsidR="007D72C5" w:rsidRPr="005F138D" w:rsidRDefault="007D72C5" w:rsidP="007D72C5">
            <w:pPr>
              <w:rPr>
                <w:rFonts w:ascii="Times New Roman" w:hAnsi="Times New Roman"/>
                <w:sz w:val="24"/>
                <w:szCs w:val="24"/>
              </w:rPr>
            </w:pPr>
            <w:r w:rsidRPr="005F138D">
              <w:rPr>
                <w:rFonts w:ascii="Times New Roman" w:hAnsi="Times New Roman"/>
                <w:sz w:val="24"/>
                <w:szCs w:val="24"/>
              </w:rPr>
              <w:t xml:space="preserve">- Invest to build medical waste treatment zone in </w:t>
            </w:r>
            <w:proofErr w:type="spellStart"/>
            <w:r w:rsidRPr="005F138D">
              <w:rPr>
                <w:rFonts w:ascii="Times New Roman" w:hAnsi="Times New Roman"/>
                <w:sz w:val="24"/>
                <w:szCs w:val="24"/>
              </w:rPr>
              <w:t>Nghe</w:t>
            </w:r>
            <w:proofErr w:type="spellEnd"/>
            <w:r w:rsidRPr="005F138D">
              <w:rPr>
                <w:rFonts w:ascii="Times New Roman" w:hAnsi="Times New Roman"/>
                <w:sz w:val="24"/>
                <w:szCs w:val="24"/>
              </w:rPr>
              <w:t xml:space="preserve"> An Province</w:t>
            </w:r>
          </w:p>
          <w:p w:rsidR="007D72C5" w:rsidRPr="005F138D" w:rsidRDefault="007D72C5" w:rsidP="007D72C5">
            <w:pPr>
              <w:rPr>
                <w:rFonts w:ascii="Times New Roman" w:hAnsi="Times New Roman"/>
                <w:sz w:val="24"/>
                <w:szCs w:val="24"/>
              </w:rPr>
            </w:pPr>
            <w:r w:rsidRPr="005F138D">
              <w:rPr>
                <w:rFonts w:ascii="Times New Roman" w:hAnsi="Times New Roman"/>
                <w:sz w:val="24"/>
                <w:szCs w:val="24"/>
              </w:rPr>
              <w:lastRenderedPageBreak/>
              <w:t>- Supplement working capital</w:t>
            </w:r>
          </w:p>
        </w:tc>
      </w:tr>
      <w:tr w:rsidR="007D72C5" w:rsidRPr="005F138D" w:rsidTr="00F6593E">
        <w:tc>
          <w:tcPr>
            <w:tcW w:w="2830"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lastRenderedPageBreak/>
              <w:t>12. Target subjects</w:t>
            </w:r>
          </w:p>
        </w:tc>
        <w:tc>
          <w:tcPr>
            <w:tcW w:w="5812"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Existing shareholders according to the list of shareholders planned by Vietnam Securities Depository as at the record date</w:t>
            </w:r>
          </w:p>
        </w:tc>
      </w:tr>
      <w:tr w:rsidR="007D72C5" w:rsidRPr="005F138D" w:rsidTr="00F6593E">
        <w:tc>
          <w:tcPr>
            <w:tcW w:w="2830"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13. Type of share issuance</w:t>
            </w:r>
          </w:p>
        </w:tc>
        <w:tc>
          <w:tcPr>
            <w:tcW w:w="5812"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Share issuance for existing shareholders</w:t>
            </w:r>
          </w:p>
        </w:tc>
      </w:tr>
      <w:tr w:rsidR="007D72C5" w:rsidRPr="005F138D" w:rsidTr="00F6593E">
        <w:tc>
          <w:tcPr>
            <w:tcW w:w="2830"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14. Implementation rate</w:t>
            </w:r>
          </w:p>
        </w:tc>
        <w:tc>
          <w:tcPr>
            <w:tcW w:w="5812"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1:1, which mean that, as at the record date, shareholder holding 01 share is entitled to purchase 01 new share</w:t>
            </w:r>
          </w:p>
        </w:tc>
      </w:tr>
      <w:tr w:rsidR="007D72C5" w:rsidRPr="005F138D" w:rsidTr="00F6593E">
        <w:tc>
          <w:tcPr>
            <w:tcW w:w="2830"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15. Rights to buy shares/deny buying shares</w:t>
            </w:r>
          </w:p>
        </w:tc>
        <w:tc>
          <w:tcPr>
            <w:tcW w:w="5812"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Existing shareholders have the right to buy share or transfer the rights to buy shares or to deny buying shares. These shareholders have the rights to transfer their right to buy share to one or more third parties with the negotiated price. It could only be transferred once</w:t>
            </w:r>
          </w:p>
        </w:tc>
      </w:tr>
      <w:tr w:rsidR="007D72C5" w:rsidRPr="005F138D" w:rsidTr="00F6593E">
        <w:tc>
          <w:tcPr>
            <w:tcW w:w="2830"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16. Restricted in transfer shares</w:t>
            </w:r>
          </w:p>
        </w:tc>
        <w:tc>
          <w:tcPr>
            <w:tcW w:w="5812"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 xml:space="preserve">- the number of shares issuing for existing shareholders shall not be restricted in transfer </w:t>
            </w:r>
          </w:p>
        </w:tc>
      </w:tr>
      <w:tr w:rsidR="007D72C5" w:rsidRPr="005F138D" w:rsidTr="00F6593E">
        <w:tc>
          <w:tcPr>
            <w:tcW w:w="2830"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17. Rounding method</w:t>
            </w:r>
          </w:p>
        </w:tc>
        <w:tc>
          <w:tcPr>
            <w:tcW w:w="5812"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 xml:space="preserve">- the number of shares issuing for existing shareholders shall be rounded down to unit digit </w:t>
            </w:r>
          </w:p>
        </w:tc>
      </w:tr>
      <w:tr w:rsidR="007D72C5" w:rsidRPr="005F138D" w:rsidTr="00F6593E">
        <w:tc>
          <w:tcPr>
            <w:tcW w:w="2830"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18. Plan on handling unsold share and odd-lot share</w:t>
            </w:r>
          </w:p>
        </w:tc>
        <w:tc>
          <w:tcPr>
            <w:tcW w:w="5812"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 General Meeting of Shareholders authorizes Board of Directors to distribute the number of unsold shares and odd-lot shares to other entities with the prices which is not less than the issuing price for existing shareholders</w:t>
            </w:r>
          </w:p>
        </w:tc>
      </w:tr>
      <w:tr w:rsidR="007D72C5" w:rsidRPr="005F138D" w:rsidTr="00F6593E">
        <w:tc>
          <w:tcPr>
            <w:tcW w:w="2830"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19. Solutions in the case of not selling fully shares as expectation</w:t>
            </w:r>
          </w:p>
        </w:tc>
        <w:tc>
          <w:tcPr>
            <w:tcW w:w="5812"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 xml:space="preserve">-The minimum amount of proceeds from the share issuance expected to be VND 379,620,450,000. In the case of not selling fully shares as expectation and not mobilizing enough capital as expectation, General meeting of Shareholders authorizes Board of Directors to consider and mobilize borrowings from banks or find other funds to offset </w:t>
            </w:r>
          </w:p>
        </w:tc>
      </w:tr>
      <w:tr w:rsidR="007D72C5" w:rsidRPr="005F138D" w:rsidTr="00F6593E">
        <w:tc>
          <w:tcPr>
            <w:tcW w:w="2830"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20. Method of confirming price</w:t>
            </w:r>
          </w:p>
        </w:tc>
        <w:tc>
          <w:tcPr>
            <w:tcW w:w="5812"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 xml:space="preserve">+ Book value as at 31 Dec 2019:  VND 19,369/ share </w:t>
            </w:r>
          </w:p>
          <w:p w:rsidR="007D72C5" w:rsidRPr="005F138D" w:rsidRDefault="007D72C5" w:rsidP="007D72C5">
            <w:pPr>
              <w:rPr>
                <w:rFonts w:ascii="Times New Roman" w:hAnsi="Times New Roman"/>
                <w:sz w:val="24"/>
                <w:szCs w:val="24"/>
              </w:rPr>
            </w:pPr>
            <w:r w:rsidRPr="005F138D">
              <w:rPr>
                <w:rFonts w:ascii="Times New Roman" w:hAnsi="Times New Roman"/>
                <w:sz w:val="24"/>
                <w:szCs w:val="24"/>
              </w:rPr>
              <w:t xml:space="preserve">+ Market price: VND 17,304/ share </w:t>
            </w:r>
          </w:p>
        </w:tc>
      </w:tr>
      <w:tr w:rsidR="007D72C5" w:rsidRPr="005F138D" w:rsidTr="00F6593E">
        <w:tc>
          <w:tcPr>
            <w:tcW w:w="2830"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21. Dilution of share</w:t>
            </w:r>
          </w:p>
        </w:tc>
        <w:tc>
          <w:tcPr>
            <w:tcW w:w="5812"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 Dilution of share = 14,000 VND/share</w:t>
            </w:r>
          </w:p>
        </w:tc>
      </w:tr>
      <w:tr w:rsidR="007D72C5" w:rsidRPr="005F138D" w:rsidTr="00F6593E">
        <w:tc>
          <w:tcPr>
            <w:tcW w:w="2830"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22. Implementation time</w:t>
            </w:r>
          </w:p>
        </w:tc>
        <w:tc>
          <w:tcPr>
            <w:tcW w:w="5812"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 xml:space="preserve">In Q.3 and Q.4/2020, Q1/2021 after being approved by the </w:t>
            </w:r>
            <w:r w:rsidR="00FE1BAF" w:rsidRPr="005F138D">
              <w:rPr>
                <w:rFonts w:ascii="Times New Roman" w:hAnsi="Times New Roman"/>
                <w:sz w:val="24"/>
                <w:szCs w:val="24"/>
              </w:rPr>
              <w:t>SSC</w:t>
            </w:r>
          </w:p>
        </w:tc>
      </w:tr>
    </w:tbl>
    <w:p w:rsidR="00F6593E" w:rsidRPr="005F138D" w:rsidRDefault="00F6593E" w:rsidP="00F6593E">
      <w:pPr>
        <w:rPr>
          <w:rFonts w:ascii="Times New Roman" w:hAnsi="Times New Roman"/>
          <w:sz w:val="24"/>
          <w:szCs w:val="24"/>
        </w:rPr>
      </w:pPr>
    </w:p>
    <w:p w:rsidR="00557076" w:rsidRPr="005F138D" w:rsidRDefault="00FE1BAF">
      <w:pPr>
        <w:rPr>
          <w:rFonts w:ascii="Times New Roman" w:hAnsi="Times New Roman"/>
          <w:sz w:val="24"/>
          <w:szCs w:val="24"/>
        </w:rPr>
      </w:pPr>
      <w:r w:rsidRPr="005F138D">
        <w:rPr>
          <w:rFonts w:ascii="Times New Roman" w:hAnsi="Times New Roman"/>
          <w:sz w:val="24"/>
          <w:szCs w:val="24"/>
        </w:rPr>
        <w:t>Article 2: Approved the plan using money obtained from share issuance</w:t>
      </w:r>
    </w:p>
    <w:p w:rsidR="00FE1BAF" w:rsidRPr="005F138D" w:rsidRDefault="00FE1BAF">
      <w:pPr>
        <w:rPr>
          <w:rFonts w:ascii="Times New Roman" w:hAnsi="Times New Roman"/>
          <w:sz w:val="24"/>
          <w:szCs w:val="24"/>
        </w:rPr>
      </w:pPr>
      <w:r w:rsidRPr="005F138D">
        <w:rPr>
          <w:rFonts w:ascii="Times New Roman" w:hAnsi="Times New Roman"/>
          <w:sz w:val="24"/>
          <w:szCs w:val="24"/>
        </w:rPr>
        <w:t xml:space="preserve">Total number of money obtained from the share issuance for existing shareholders </w:t>
      </w:r>
      <w:proofErr w:type="gramStart"/>
      <w:r w:rsidRPr="005F138D">
        <w:rPr>
          <w:rFonts w:ascii="Times New Roman" w:hAnsi="Times New Roman"/>
          <w:sz w:val="24"/>
          <w:szCs w:val="24"/>
        </w:rPr>
        <w:t>is expected</w:t>
      </w:r>
      <w:proofErr w:type="gramEnd"/>
      <w:r w:rsidRPr="005F138D">
        <w:rPr>
          <w:rFonts w:ascii="Times New Roman" w:hAnsi="Times New Roman"/>
          <w:sz w:val="24"/>
          <w:szCs w:val="24"/>
        </w:rPr>
        <w:t xml:space="preserve"> to be 379,620,450,000 VND. It </w:t>
      </w:r>
      <w:proofErr w:type="gramStart"/>
      <w:r w:rsidRPr="005F138D">
        <w:rPr>
          <w:rFonts w:ascii="Times New Roman" w:hAnsi="Times New Roman"/>
          <w:sz w:val="24"/>
          <w:szCs w:val="24"/>
        </w:rPr>
        <w:t>will be used</w:t>
      </w:r>
      <w:proofErr w:type="gramEnd"/>
      <w:r w:rsidRPr="005F138D">
        <w:rPr>
          <w:rFonts w:ascii="Times New Roman" w:hAnsi="Times New Roman"/>
          <w:sz w:val="24"/>
          <w:szCs w:val="24"/>
        </w:rPr>
        <w:t xml:space="preserve"> as follows:</w:t>
      </w:r>
    </w:p>
    <w:p w:rsidR="00FE1BAF" w:rsidRPr="005F138D" w:rsidRDefault="00FE1BAF" w:rsidP="00FE1BAF">
      <w:pPr>
        <w:jc w:val="right"/>
        <w:rPr>
          <w:rFonts w:ascii="Times New Roman" w:hAnsi="Times New Roman"/>
          <w:sz w:val="24"/>
          <w:szCs w:val="24"/>
        </w:rPr>
      </w:pPr>
      <w:r w:rsidRPr="005F138D">
        <w:rPr>
          <w:rFonts w:ascii="Times New Roman" w:hAnsi="Times New Roman"/>
          <w:sz w:val="24"/>
          <w:szCs w:val="24"/>
        </w:rPr>
        <w:t>Unit: VND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492"/>
        <w:gridCol w:w="1836"/>
        <w:gridCol w:w="1836"/>
        <w:gridCol w:w="1733"/>
        <w:gridCol w:w="1856"/>
      </w:tblGrid>
      <w:tr w:rsidR="00FE1BAF" w:rsidRPr="005F138D" w:rsidTr="00FE1BAF">
        <w:tc>
          <w:tcPr>
            <w:tcW w:w="669" w:type="dxa"/>
            <w:shd w:val="clear" w:color="auto" w:fill="auto"/>
          </w:tcPr>
          <w:p w:rsidR="00FE1BAF" w:rsidRPr="005F138D" w:rsidRDefault="00FE1BAF" w:rsidP="00B70B0F">
            <w:pPr>
              <w:pStyle w:val="ListParagraph"/>
              <w:spacing w:after="0" w:line="240" w:lineRule="auto"/>
              <w:ind w:left="0"/>
              <w:jc w:val="center"/>
              <w:rPr>
                <w:rFonts w:ascii="Times New Roman" w:hAnsi="Times New Roman"/>
                <w:b/>
                <w:sz w:val="24"/>
                <w:szCs w:val="24"/>
              </w:rPr>
            </w:pPr>
            <w:r w:rsidRPr="005F138D">
              <w:rPr>
                <w:rFonts w:ascii="Times New Roman" w:hAnsi="Times New Roman"/>
                <w:b/>
                <w:sz w:val="24"/>
                <w:szCs w:val="24"/>
              </w:rPr>
              <w:t>No.</w:t>
            </w:r>
          </w:p>
        </w:tc>
        <w:tc>
          <w:tcPr>
            <w:tcW w:w="1759" w:type="dxa"/>
            <w:shd w:val="clear" w:color="auto" w:fill="auto"/>
          </w:tcPr>
          <w:p w:rsidR="00FE1BAF" w:rsidRPr="005F138D" w:rsidRDefault="00FE1BAF" w:rsidP="00B70B0F">
            <w:pPr>
              <w:pStyle w:val="ListParagraph"/>
              <w:spacing w:after="0" w:line="240" w:lineRule="auto"/>
              <w:ind w:left="0"/>
              <w:jc w:val="center"/>
              <w:rPr>
                <w:rFonts w:ascii="Times New Roman" w:hAnsi="Times New Roman"/>
                <w:b/>
                <w:sz w:val="24"/>
                <w:szCs w:val="24"/>
              </w:rPr>
            </w:pPr>
            <w:r w:rsidRPr="005F138D">
              <w:rPr>
                <w:rFonts w:ascii="Times New Roman" w:hAnsi="Times New Roman"/>
                <w:b/>
                <w:sz w:val="24"/>
                <w:szCs w:val="24"/>
              </w:rPr>
              <w:t>Purpose of use</w:t>
            </w:r>
          </w:p>
        </w:tc>
        <w:tc>
          <w:tcPr>
            <w:tcW w:w="1732" w:type="dxa"/>
            <w:shd w:val="clear" w:color="auto" w:fill="auto"/>
          </w:tcPr>
          <w:p w:rsidR="00FE1BAF" w:rsidRPr="005F138D" w:rsidRDefault="00FE1BAF" w:rsidP="00B70B0F">
            <w:pPr>
              <w:pStyle w:val="ListParagraph"/>
              <w:spacing w:after="0" w:line="240" w:lineRule="auto"/>
              <w:ind w:left="0"/>
              <w:jc w:val="center"/>
              <w:rPr>
                <w:rFonts w:ascii="Times New Roman" w:hAnsi="Times New Roman"/>
                <w:b/>
                <w:sz w:val="24"/>
                <w:szCs w:val="24"/>
              </w:rPr>
            </w:pPr>
            <w:r w:rsidRPr="005F138D">
              <w:rPr>
                <w:rFonts w:ascii="Times New Roman" w:hAnsi="Times New Roman"/>
                <w:b/>
                <w:sz w:val="24"/>
                <w:szCs w:val="24"/>
              </w:rPr>
              <w:t>Total amount of investment (VND)</w:t>
            </w:r>
          </w:p>
        </w:tc>
        <w:tc>
          <w:tcPr>
            <w:tcW w:w="1732" w:type="dxa"/>
            <w:shd w:val="clear" w:color="auto" w:fill="auto"/>
          </w:tcPr>
          <w:p w:rsidR="00FE1BAF" w:rsidRPr="005F138D" w:rsidRDefault="00FE1BAF" w:rsidP="00B70B0F">
            <w:pPr>
              <w:pStyle w:val="ListParagraph"/>
              <w:spacing w:after="0" w:line="240" w:lineRule="auto"/>
              <w:ind w:left="0"/>
              <w:jc w:val="center"/>
              <w:rPr>
                <w:rFonts w:ascii="Times New Roman" w:hAnsi="Times New Roman"/>
                <w:b/>
                <w:sz w:val="24"/>
                <w:szCs w:val="24"/>
              </w:rPr>
            </w:pPr>
            <w:r w:rsidRPr="005F138D">
              <w:rPr>
                <w:rFonts w:ascii="Times New Roman" w:hAnsi="Times New Roman"/>
                <w:b/>
                <w:sz w:val="24"/>
                <w:szCs w:val="24"/>
              </w:rPr>
              <w:t>Amount of proceeds from the issuance</w:t>
            </w:r>
          </w:p>
        </w:tc>
        <w:tc>
          <w:tcPr>
            <w:tcW w:w="1769" w:type="dxa"/>
            <w:shd w:val="clear" w:color="auto" w:fill="auto"/>
          </w:tcPr>
          <w:p w:rsidR="00FE1BAF" w:rsidRPr="005F138D" w:rsidRDefault="00FE1BAF" w:rsidP="00B70B0F">
            <w:pPr>
              <w:pStyle w:val="ListParagraph"/>
              <w:spacing w:after="0" w:line="240" w:lineRule="auto"/>
              <w:ind w:left="0"/>
              <w:jc w:val="center"/>
              <w:rPr>
                <w:rFonts w:ascii="Times New Roman" w:hAnsi="Times New Roman"/>
                <w:b/>
                <w:sz w:val="24"/>
                <w:szCs w:val="24"/>
              </w:rPr>
            </w:pPr>
            <w:r w:rsidRPr="005F138D">
              <w:rPr>
                <w:rFonts w:ascii="Times New Roman" w:hAnsi="Times New Roman"/>
                <w:b/>
                <w:sz w:val="24"/>
                <w:szCs w:val="24"/>
              </w:rPr>
              <w:t>Other reciprocal funds</w:t>
            </w:r>
          </w:p>
        </w:tc>
        <w:tc>
          <w:tcPr>
            <w:tcW w:w="1694" w:type="dxa"/>
          </w:tcPr>
          <w:p w:rsidR="00FE1BAF" w:rsidRPr="005F138D" w:rsidRDefault="00FE1BAF" w:rsidP="00B70B0F">
            <w:pPr>
              <w:pStyle w:val="ListParagraph"/>
              <w:spacing w:after="0" w:line="240" w:lineRule="auto"/>
              <w:ind w:left="0"/>
              <w:jc w:val="center"/>
              <w:rPr>
                <w:rFonts w:ascii="Times New Roman" w:hAnsi="Times New Roman"/>
                <w:b/>
                <w:sz w:val="24"/>
                <w:szCs w:val="24"/>
              </w:rPr>
            </w:pPr>
            <w:r w:rsidRPr="005F138D">
              <w:rPr>
                <w:rFonts w:ascii="Times New Roman" w:hAnsi="Times New Roman"/>
                <w:b/>
                <w:sz w:val="24"/>
                <w:szCs w:val="24"/>
              </w:rPr>
              <w:t>Implementation time</w:t>
            </w:r>
          </w:p>
        </w:tc>
      </w:tr>
      <w:tr w:rsidR="00FE1BAF" w:rsidRPr="005F138D" w:rsidTr="00FE1BAF">
        <w:tc>
          <w:tcPr>
            <w:tcW w:w="669" w:type="dxa"/>
            <w:shd w:val="clear" w:color="auto" w:fill="auto"/>
          </w:tcPr>
          <w:p w:rsidR="00FE1BAF" w:rsidRPr="005F138D" w:rsidRDefault="00FE1BAF" w:rsidP="00B70B0F">
            <w:pPr>
              <w:pStyle w:val="ListParagraph"/>
              <w:spacing w:after="0" w:line="240" w:lineRule="auto"/>
              <w:ind w:left="0"/>
              <w:rPr>
                <w:rFonts w:ascii="Times New Roman" w:hAnsi="Times New Roman"/>
                <w:sz w:val="24"/>
                <w:szCs w:val="24"/>
              </w:rPr>
            </w:pPr>
            <w:r w:rsidRPr="005F138D">
              <w:rPr>
                <w:rFonts w:ascii="Times New Roman" w:hAnsi="Times New Roman"/>
                <w:sz w:val="24"/>
                <w:szCs w:val="24"/>
              </w:rPr>
              <w:t>1</w:t>
            </w:r>
          </w:p>
        </w:tc>
        <w:tc>
          <w:tcPr>
            <w:tcW w:w="1759" w:type="dxa"/>
            <w:shd w:val="clear" w:color="auto" w:fill="auto"/>
          </w:tcPr>
          <w:p w:rsidR="00FE1BAF" w:rsidRPr="005F138D" w:rsidRDefault="00FE1BAF" w:rsidP="00B70B0F">
            <w:pPr>
              <w:pStyle w:val="ListParagraph"/>
              <w:spacing w:after="0" w:line="240" w:lineRule="auto"/>
              <w:ind w:left="0"/>
              <w:rPr>
                <w:rFonts w:ascii="Times New Roman" w:hAnsi="Times New Roman"/>
                <w:sz w:val="24"/>
                <w:szCs w:val="24"/>
              </w:rPr>
            </w:pPr>
            <w:r w:rsidRPr="005F138D">
              <w:rPr>
                <w:rFonts w:ascii="Times New Roman" w:hAnsi="Times New Roman"/>
                <w:sz w:val="24"/>
                <w:szCs w:val="24"/>
              </w:rPr>
              <w:t xml:space="preserve">Invest to build medical waste treatment zone in </w:t>
            </w:r>
            <w:proofErr w:type="spellStart"/>
            <w:r w:rsidRPr="005F138D">
              <w:rPr>
                <w:rFonts w:ascii="Times New Roman" w:hAnsi="Times New Roman"/>
                <w:sz w:val="24"/>
                <w:szCs w:val="24"/>
              </w:rPr>
              <w:t>Ninh</w:t>
            </w:r>
            <w:proofErr w:type="spellEnd"/>
            <w:r w:rsidRPr="005F138D">
              <w:rPr>
                <w:rFonts w:ascii="Times New Roman" w:hAnsi="Times New Roman"/>
                <w:sz w:val="24"/>
                <w:szCs w:val="24"/>
              </w:rPr>
              <w:t xml:space="preserve"> </w:t>
            </w:r>
            <w:proofErr w:type="spellStart"/>
            <w:r w:rsidRPr="005F138D">
              <w:rPr>
                <w:rFonts w:ascii="Times New Roman" w:hAnsi="Times New Roman"/>
                <w:sz w:val="24"/>
                <w:szCs w:val="24"/>
              </w:rPr>
              <w:t>Binh</w:t>
            </w:r>
            <w:proofErr w:type="spellEnd"/>
            <w:r w:rsidRPr="005F138D">
              <w:rPr>
                <w:rFonts w:ascii="Times New Roman" w:hAnsi="Times New Roman"/>
                <w:sz w:val="24"/>
                <w:szCs w:val="24"/>
              </w:rPr>
              <w:t xml:space="preserve"> Province </w:t>
            </w:r>
          </w:p>
        </w:tc>
        <w:tc>
          <w:tcPr>
            <w:tcW w:w="1732" w:type="dxa"/>
            <w:shd w:val="clear" w:color="auto" w:fill="auto"/>
          </w:tcPr>
          <w:p w:rsidR="00FE1BAF" w:rsidRPr="005F138D" w:rsidRDefault="00FE1BAF" w:rsidP="00B70B0F">
            <w:pPr>
              <w:pStyle w:val="ListParagraph"/>
              <w:spacing w:after="0" w:line="240" w:lineRule="auto"/>
              <w:ind w:left="0"/>
              <w:jc w:val="right"/>
              <w:rPr>
                <w:rFonts w:ascii="Times New Roman" w:hAnsi="Times New Roman"/>
                <w:sz w:val="24"/>
                <w:szCs w:val="24"/>
              </w:rPr>
            </w:pPr>
            <w:r w:rsidRPr="005F138D">
              <w:rPr>
                <w:rFonts w:ascii="Times New Roman" w:hAnsi="Times New Roman"/>
                <w:sz w:val="24"/>
                <w:szCs w:val="24"/>
              </w:rPr>
              <w:t>150,000,000,000</w:t>
            </w:r>
          </w:p>
        </w:tc>
        <w:tc>
          <w:tcPr>
            <w:tcW w:w="1732" w:type="dxa"/>
            <w:shd w:val="clear" w:color="auto" w:fill="auto"/>
          </w:tcPr>
          <w:p w:rsidR="00FE1BAF" w:rsidRPr="005F138D" w:rsidRDefault="00FE1BAF" w:rsidP="00B70B0F">
            <w:pPr>
              <w:pStyle w:val="ListParagraph"/>
              <w:spacing w:after="0" w:line="240" w:lineRule="auto"/>
              <w:ind w:left="0"/>
              <w:jc w:val="right"/>
              <w:rPr>
                <w:rFonts w:ascii="Times New Roman" w:hAnsi="Times New Roman"/>
                <w:sz w:val="24"/>
                <w:szCs w:val="24"/>
              </w:rPr>
            </w:pPr>
            <w:r w:rsidRPr="005F138D">
              <w:rPr>
                <w:rFonts w:ascii="Times New Roman" w:hAnsi="Times New Roman"/>
                <w:sz w:val="24"/>
                <w:szCs w:val="24"/>
              </w:rPr>
              <w:t>150,000,000,000</w:t>
            </w:r>
          </w:p>
        </w:tc>
        <w:tc>
          <w:tcPr>
            <w:tcW w:w="1769" w:type="dxa"/>
            <w:shd w:val="clear" w:color="auto" w:fill="auto"/>
          </w:tcPr>
          <w:p w:rsidR="00FE1BAF" w:rsidRPr="005F138D" w:rsidRDefault="00FE1BAF" w:rsidP="00B70B0F">
            <w:pPr>
              <w:pStyle w:val="ListParagraph"/>
              <w:spacing w:after="0" w:line="240" w:lineRule="auto"/>
              <w:ind w:left="0"/>
              <w:jc w:val="right"/>
              <w:rPr>
                <w:rFonts w:ascii="Times New Roman" w:hAnsi="Times New Roman"/>
                <w:sz w:val="24"/>
                <w:szCs w:val="24"/>
              </w:rPr>
            </w:pPr>
            <w:r w:rsidRPr="005F138D">
              <w:rPr>
                <w:rFonts w:ascii="Times New Roman" w:hAnsi="Times New Roman"/>
                <w:sz w:val="24"/>
                <w:szCs w:val="24"/>
              </w:rPr>
              <w:t>0</w:t>
            </w:r>
          </w:p>
        </w:tc>
        <w:tc>
          <w:tcPr>
            <w:tcW w:w="1694" w:type="dxa"/>
          </w:tcPr>
          <w:p w:rsidR="00FE1BAF" w:rsidRPr="005F138D" w:rsidRDefault="00FE1BAF" w:rsidP="00FE1BAF">
            <w:pPr>
              <w:pStyle w:val="ListParagraph"/>
              <w:spacing w:after="0" w:line="240" w:lineRule="auto"/>
              <w:ind w:left="0"/>
              <w:rPr>
                <w:rFonts w:ascii="Times New Roman" w:hAnsi="Times New Roman"/>
                <w:sz w:val="24"/>
                <w:szCs w:val="24"/>
              </w:rPr>
            </w:pPr>
            <w:r w:rsidRPr="005F138D">
              <w:rPr>
                <w:rFonts w:ascii="Times New Roman" w:hAnsi="Times New Roman"/>
                <w:sz w:val="24"/>
                <w:szCs w:val="24"/>
              </w:rPr>
              <w:t>In Q.4/2020 and in 2021</w:t>
            </w:r>
          </w:p>
        </w:tc>
      </w:tr>
      <w:tr w:rsidR="00FE1BAF" w:rsidRPr="005F138D" w:rsidTr="00FE1BAF">
        <w:tc>
          <w:tcPr>
            <w:tcW w:w="669" w:type="dxa"/>
            <w:shd w:val="clear" w:color="auto" w:fill="auto"/>
          </w:tcPr>
          <w:p w:rsidR="00FE1BAF" w:rsidRPr="005F138D" w:rsidRDefault="00FE1BAF" w:rsidP="00B70B0F">
            <w:pPr>
              <w:pStyle w:val="ListParagraph"/>
              <w:spacing w:after="0" w:line="240" w:lineRule="auto"/>
              <w:ind w:left="0"/>
              <w:rPr>
                <w:rFonts w:ascii="Times New Roman" w:hAnsi="Times New Roman"/>
                <w:sz w:val="24"/>
                <w:szCs w:val="24"/>
              </w:rPr>
            </w:pPr>
            <w:r w:rsidRPr="005F138D">
              <w:rPr>
                <w:rFonts w:ascii="Times New Roman" w:hAnsi="Times New Roman"/>
                <w:sz w:val="24"/>
                <w:szCs w:val="24"/>
              </w:rPr>
              <w:t>2</w:t>
            </w:r>
          </w:p>
        </w:tc>
        <w:tc>
          <w:tcPr>
            <w:tcW w:w="1759" w:type="dxa"/>
            <w:shd w:val="clear" w:color="auto" w:fill="auto"/>
          </w:tcPr>
          <w:p w:rsidR="00FE1BAF" w:rsidRPr="005F138D" w:rsidRDefault="00FE1BAF" w:rsidP="00B70B0F">
            <w:pPr>
              <w:pStyle w:val="ListParagraph"/>
              <w:spacing w:after="0" w:line="240" w:lineRule="auto"/>
              <w:ind w:left="0"/>
              <w:rPr>
                <w:rFonts w:ascii="Times New Roman" w:hAnsi="Times New Roman"/>
                <w:sz w:val="24"/>
                <w:szCs w:val="24"/>
              </w:rPr>
            </w:pPr>
            <w:r w:rsidRPr="005F138D">
              <w:rPr>
                <w:rFonts w:ascii="Times New Roman" w:hAnsi="Times New Roman"/>
                <w:sz w:val="24"/>
                <w:szCs w:val="24"/>
              </w:rPr>
              <w:t xml:space="preserve">Invest to build medical waste treatment zone in </w:t>
            </w:r>
            <w:proofErr w:type="spellStart"/>
            <w:r w:rsidRPr="005F138D">
              <w:rPr>
                <w:rFonts w:ascii="Times New Roman" w:hAnsi="Times New Roman"/>
                <w:sz w:val="24"/>
                <w:szCs w:val="24"/>
              </w:rPr>
              <w:t>Nghe</w:t>
            </w:r>
            <w:proofErr w:type="spellEnd"/>
            <w:r w:rsidRPr="005F138D">
              <w:rPr>
                <w:rFonts w:ascii="Times New Roman" w:hAnsi="Times New Roman"/>
                <w:sz w:val="24"/>
                <w:szCs w:val="24"/>
              </w:rPr>
              <w:t xml:space="preserve"> An Province</w:t>
            </w:r>
          </w:p>
        </w:tc>
        <w:tc>
          <w:tcPr>
            <w:tcW w:w="1732" w:type="dxa"/>
            <w:shd w:val="clear" w:color="auto" w:fill="auto"/>
          </w:tcPr>
          <w:p w:rsidR="00FE1BAF" w:rsidRPr="005F138D" w:rsidRDefault="00FE1BAF" w:rsidP="00B70B0F">
            <w:pPr>
              <w:pStyle w:val="ListParagraph"/>
              <w:spacing w:after="0" w:line="240" w:lineRule="auto"/>
              <w:ind w:left="0"/>
              <w:jc w:val="right"/>
              <w:rPr>
                <w:rFonts w:ascii="Times New Roman" w:hAnsi="Times New Roman"/>
                <w:sz w:val="24"/>
                <w:szCs w:val="24"/>
              </w:rPr>
            </w:pPr>
            <w:r w:rsidRPr="005F138D">
              <w:rPr>
                <w:rFonts w:ascii="Times New Roman" w:hAnsi="Times New Roman"/>
                <w:sz w:val="24"/>
                <w:szCs w:val="24"/>
              </w:rPr>
              <w:t>250,000,000,000</w:t>
            </w:r>
          </w:p>
        </w:tc>
        <w:tc>
          <w:tcPr>
            <w:tcW w:w="1732" w:type="dxa"/>
            <w:shd w:val="clear" w:color="auto" w:fill="auto"/>
          </w:tcPr>
          <w:p w:rsidR="00FE1BAF" w:rsidRPr="005F138D" w:rsidRDefault="00FE1BAF" w:rsidP="00B70B0F">
            <w:pPr>
              <w:pStyle w:val="ListParagraph"/>
              <w:spacing w:after="0" w:line="240" w:lineRule="auto"/>
              <w:ind w:left="0"/>
              <w:jc w:val="right"/>
              <w:rPr>
                <w:rFonts w:ascii="Times New Roman" w:hAnsi="Times New Roman"/>
                <w:sz w:val="24"/>
                <w:szCs w:val="24"/>
              </w:rPr>
            </w:pPr>
            <w:r w:rsidRPr="005F138D">
              <w:rPr>
                <w:rFonts w:ascii="Times New Roman" w:hAnsi="Times New Roman"/>
                <w:sz w:val="24"/>
                <w:szCs w:val="24"/>
              </w:rPr>
              <w:t>210,000,000,000</w:t>
            </w:r>
          </w:p>
        </w:tc>
        <w:tc>
          <w:tcPr>
            <w:tcW w:w="1769" w:type="dxa"/>
            <w:shd w:val="clear" w:color="auto" w:fill="auto"/>
          </w:tcPr>
          <w:p w:rsidR="00FE1BAF" w:rsidRPr="005F138D" w:rsidRDefault="00FE1BAF" w:rsidP="00FE1BAF">
            <w:pPr>
              <w:pStyle w:val="ListParagraph"/>
              <w:spacing w:after="0" w:line="240" w:lineRule="auto"/>
              <w:ind w:left="0"/>
              <w:jc w:val="right"/>
              <w:rPr>
                <w:rFonts w:ascii="Times New Roman" w:hAnsi="Times New Roman"/>
                <w:sz w:val="24"/>
                <w:szCs w:val="24"/>
              </w:rPr>
            </w:pPr>
            <w:r w:rsidRPr="005F138D">
              <w:rPr>
                <w:rFonts w:ascii="Times New Roman" w:hAnsi="Times New Roman"/>
                <w:sz w:val="24"/>
                <w:szCs w:val="24"/>
              </w:rPr>
              <w:t>40,000,000,000</w:t>
            </w:r>
          </w:p>
        </w:tc>
        <w:tc>
          <w:tcPr>
            <w:tcW w:w="1694" w:type="dxa"/>
          </w:tcPr>
          <w:p w:rsidR="00FE1BAF" w:rsidRPr="005F138D" w:rsidRDefault="00FE1BAF" w:rsidP="00FE1BAF">
            <w:pPr>
              <w:pStyle w:val="ListParagraph"/>
              <w:spacing w:after="0" w:line="240" w:lineRule="auto"/>
              <w:ind w:left="0"/>
              <w:rPr>
                <w:rFonts w:ascii="Times New Roman" w:hAnsi="Times New Roman"/>
                <w:sz w:val="24"/>
                <w:szCs w:val="24"/>
              </w:rPr>
            </w:pPr>
            <w:r w:rsidRPr="005F138D">
              <w:rPr>
                <w:rFonts w:ascii="Times New Roman" w:hAnsi="Times New Roman"/>
                <w:sz w:val="24"/>
                <w:szCs w:val="24"/>
              </w:rPr>
              <w:t>In 2021</w:t>
            </w:r>
          </w:p>
        </w:tc>
      </w:tr>
      <w:tr w:rsidR="00FE1BAF" w:rsidRPr="005F138D" w:rsidTr="00FE1BAF">
        <w:tc>
          <w:tcPr>
            <w:tcW w:w="669" w:type="dxa"/>
            <w:shd w:val="clear" w:color="auto" w:fill="auto"/>
          </w:tcPr>
          <w:p w:rsidR="00FE1BAF" w:rsidRPr="005F138D" w:rsidRDefault="00FE1BAF" w:rsidP="00FE1BAF">
            <w:pPr>
              <w:pStyle w:val="ListParagraph"/>
              <w:spacing w:after="0" w:line="240" w:lineRule="auto"/>
              <w:ind w:left="0"/>
              <w:rPr>
                <w:rFonts w:ascii="Times New Roman" w:hAnsi="Times New Roman"/>
                <w:sz w:val="24"/>
                <w:szCs w:val="24"/>
              </w:rPr>
            </w:pPr>
            <w:r w:rsidRPr="005F138D">
              <w:rPr>
                <w:rFonts w:ascii="Times New Roman" w:hAnsi="Times New Roman"/>
                <w:sz w:val="24"/>
                <w:szCs w:val="24"/>
              </w:rPr>
              <w:t>3</w:t>
            </w:r>
          </w:p>
        </w:tc>
        <w:tc>
          <w:tcPr>
            <w:tcW w:w="1759" w:type="dxa"/>
            <w:shd w:val="clear" w:color="auto" w:fill="auto"/>
          </w:tcPr>
          <w:p w:rsidR="00FE1BAF" w:rsidRPr="005F138D" w:rsidRDefault="00FE1BAF" w:rsidP="00FE1BAF">
            <w:pPr>
              <w:pStyle w:val="ListParagraph"/>
              <w:spacing w:after="0" w:line="240" w:lineRule="auto"/>
              <w:ind w:left="0"/>
              <w:rPr>
                <w:rFonts w:ascii="Times New Roman" w:hAnsi="Times New Roman"/>
                <w:sz w:val="24"/>
                <w:szCs w:val="24"/>
              </w:rPr>
            </w:pPr>
            <w:r w:rsidRPr="005F138D">
              <w:rPr>
                <w:rFonts w:ascii="Times New Roman" w:hAnsi="Times New Roman"/>
                <w:sz w:val="24"/>
                <w:szCs w:val="24"/>
              </w:rPr>
              <w:t xml:space="preserve">Supplement working capital </w:t>
            </w:r>
          </w:p>
        </w:tc>
        <w:tc>
          <w:tcPr>
            <w:tcW w:w="1732" w:type="dxa"/>
            <w:shd w:val="clear" w:color="auto" w:fill="auto"/>
          </w:tcPr>
          <w:p w:rsidR="00FE1BAF" w:rsidRPr="005F138D" w:rsidRDefault="00FE1BAF" w:rsidP="00FE1BAF">
            <w:pPr>
              <w:pStyle w:val="ListParagraph"/>
              <w:spacing w:after="0" w:line="240" w:lineRule="auto"/>
              <w:ind w:left="0"/>
              <w:jc w:val="right"/>
              <w:rPr>
                <w:rFonts w:ascii="Times New Roman" w:hAnsi="Times New Roman"/>
                <w:sz w:val="24"/>
                <w:szCs w:val="24"/>
              </w:rPr>
            </w:pPr>
            <w:r w:rsidRPr="005F138D">
              <w:rPr>
                <w:rFonts w:ascii="Times New Roman" w:hAnsi="Times New Roman"/>
                <w:sz w:val="24"/>
                <w:szCs w:val="24"/>
              </w:rPr>
              <w:t>19,620,450,000</w:t>
            </w:r>
          </w:p>
        </w:tc>
        <w:tc>
          <w:tcPr>
            <w:tcW w:w="1732" w:type="dxa"/>
            <w:shd w:val="clear" w:color="auto" w:fill="auto"/>
          </w:tcPr>
          <w:p w:rsidR="00FE1BAF" w:rsidRPr="005F138D" w:rsidRDefault="00FE1BAF" w:rsidP="00FE1BAF">
            <w:pPr>
              <w:pStyle w:val="ListParagraph"/>
              <w:spacing w:after="0" w:line="240" w:lineRule="auto"/>
              <w:ind w:left="0"/>
              <w:jc w:val="right"/>
              <w:rPr>
                <w:rFonts w:ascii="Times New Roman" w:hAnsi="Times New Roman"/>
                <w:sz w:val="24"/>
                <w:szCs w:val="24"/>
              </w:rPr>
            </w:pPr>
            <w:r w:rsidRPr="005F138D">
              <w:rPr>
                <w:rFonts w:ascii="Times New Roman" w:hAnsi="Times New Roman"/>
                <w:sz w:val="24"/>
                <w:szCs w:val="24"/>
              </w:rPr>
              <w:t>19,620,450,000</w:t>
            </w:r>
          </w:p>
        </w:tc>
        <w:tc>
          <w:tcPr>
            <w:tcW w:w="1769" w:type="dxa"/>
            <w:shd w:val="clear" w:color="auto" w:fill="auto"/>
          </w:tcPr>
          <w:p w:rsidR="00FE1BAF" w:rsidRPr="005F138D" w:rsidRDefault="00FE1BAF" w:rsidP="00FE1BAF">
            <w:pPr>
              <w:pStyle w:val="ListParagraph"/>
              <w:spacing w:after="0" w:line="240" w:lineRule="auto"/>
              <w:ind w:left="0"/>
              <w:jc w:val="right"/>
              <w:rPr>
                <w:rFonts w:ascii="Times New Roman" w:hAnsi="Times New Roman"/>
                <w:sz w:val="24"/>
                <w:szCs w:val="24"/>
              </w:rPr>
            </w:pPr>
          </w:p>
        </w:tc>
        <w:tc>
          <w:tcPr>
            <w:tcW w:w="1694" w:type="dxa"/>
          </w:tcPr>
          <w:p w:rsidR="00FE1BAF" w:rsidRPr="005F138D" w:rsidRDefault="00FE1BAF" w:rsidP="00FE1BAF">
            <w:pPr>
              <w:pStyle w:val="ListParagraph"/>
              <w:spacing w:after="0" w:line="240" w:lineRule="auto"/>
              <w:ind w:left="0"/>
              <w:rPr>
                <w:rFonts w:ascii="Times New Roman" w:hAnsi="Times New Roman"/>
                <w:sz w:val="24"/>
                <w:szCs w:val="24"/>
              </w:rPr>
            </w:pPr>
            <w:r w:rsidRPr="005F138D">
              <w:rPr>
                <w:rFonts w:ascii="Times New Roman" w:hAnsi="Times New Roman"/>
                <w:sz w:val="24"/>
                <w:szCs w:val="24"/>
              </w:rPr>
              <w:t>In Q.4/2020 and in 2021</w:t>
            </w:r>
          </w:p>
        </w:tc>
      </w:tr>
      <w:tr w:rsidR="00FE1BAF" w:rsidRPr="005F138D" w:rsidTr="00FE1BAF">
        <w:tc>
          <w:tcPr>
            <w:tcW w:w="669" w:type="dxa"/>
            <w:shd w:val="clear" w:color="auto" w:fill="auto"/>
          </w:tcPr>
          <w:p w:rsidR="00FE1BAF" w:rsidRPr="005F138D" w:rsidRDefault="00FE1BAF" w:rsidP="00FE1BAF">
            <w:pPr>
              <w:pStyle w:val="ListParagraph"/>
              <w:spacing w:after="0" w:line="240" w:lineRule="auto"/>
              <w:ind w:left="0"/>
              <w:rPr>
                <w:rFonts w:ascii="Times New Roman" w:hAnsi="Times New Roman"/>
                <w:sz w:val="24"/>
                <w:szCs w:val="24"/>
              </w:rPr>
            </w:pPr>
          </w:p>
        </w:tc>
        <w:tc>
          <w:tcPr>
            <w:tcW w:w="1759" w:type="dxa"/>
            <w:shd w:val="clear" w:color="auto" w:fill="auto"/>
          </w:tcPr>
          <w:p w:rsidR="00FE1BAF" w:rsidRPr="005F138D" w:rsidRDefault="00FE1BAF" w:rsidP="00FE1BAF">
            <w:pPr>
              <w:pStyle w:val="ListParagraph"/>
              <w:spacing w:after="0" w:line="240" w:lineRule="auto"/>
              <w:ind w:left="0"/>
              <w:rPr>
                <w:rFonts w:ascii="Times New Roman" w:hAnsi="Times New Roman"/>
                <w:b/>
                <w:sz w:val="24"/>
                <w:szCs w:val="24"/>
              </w:rPr>
            </w:pPr>
            <w:r w:rsidRPr="005F138D">
              <w:rPr>
                <w:rFonts w:ascii="Times New Roman" w:hAnsi="Times New Roman"/>
                <w:b/>
                <w:sz w:val="24"/>
                <w:szCs w:val="24"/>
              </w:rPr>
              <w:t xml:space="preserve">Total </w:t>
            </w:r>
          </w:p>
        </w:tc>
        <w:tc>
          <w:tcPr>
            <w:tcW w:w="1732" w:type="dxa"/>
            <w:shd w:val="clear" w:color="auto" w:fill="auto"/>
          </w:tcPr>
          <w:p w:rsidR="00FE1BAF" w:rsidRPr="005F138D" w:rsidRDefault="00FE1BAF" w:rsidP="00FE1BAF">
            <w:pPr>
              <w:pStyle w:val="ListParagraph"/>
              <w:spacing w:after="0" w:line="240" w:lineRule="auto"/>
              <w:ind w:left="0"/>
              <w:jc w:val="right"/>
              <w:rPr>
                <w:rFonts w:ascii="Times New Roman" w:hAnsi="Times New Roman"/>
                <w:b/>
                <w:sz w:val="24"/>
                <w:szCs w:val="24"/>
              </w:rPr>
            </w:pPr>
            <w:r w:rsidRPr="005F138D">
              <w:rPr>
                <w:rFonts w:ascii="Times New Roman" w:hAnsi="Times New Roman"/>
                <w:b/>
                <w:sz w:val="24"/>
                <w:szCs w:val="24"/>
              </w:rPr>
              <w:t>419,620,450,000</w:t>
            </w:r>
          </w:p>
        </w:tc>
        <w:tc>
          <w:tcPr>
            <w:tcW w:w="1732" w:type="dxa"/>
            <w:shd w:val="clear" w:color="auto" w:fill="auto"/>
          </w:tcPr>
          <w:p w:rsidR="00FE1BAF" w:rsidRPr="005F138D" w:rsidRDefault="00FE1BAF" w:rsidP="00FE1BAF">
            <w:pPr>
              <w:pStyle w:val="ListParagraph"/>
              <w:spacing w:after="0" w:line="240" w:lineRule="auto"/>
              <w:ind w:left="0"/>
              <w:jc w:val="right"/>
              <w:rPr>
                <w:rFonts w:ascii="Times New Roman" w:hAnsi="Times New Roman"/>
                <w:b/>
                <w:sz w:val="24"/>
                <w:szCs w:val="24"/>
              </w:rPr>
            </w:pPr>
            <w:r w:rsidRPr="005F138D">
              <w:rPr>
                <w:rFonts w:ascii="Times New Roman" w:hAnsi="Times New Roman"/>
                <w:b/>
                <w:sz w:val="24"/>
                <w:szCs w:val="24"/>
              </w:rPr>
              <w:t>379,620,450,000</w:t>
            </w:r>
          </w:p>
        </w:tc>
        <w:tc>
          <w:tcPr>
            <w:tcW w:w="1769" w:type="dxa"/>
            <w:shd w:val="clear" w:color="auto" w:fill="auto"/>
          </w:tcPr>
          <w:p w:rsidR="00FE1BAF" w:rsidRPr="005F138D" w:rsidRDefault="00FE1BAF" w:rsidP="00FE1BAF">
            <w:pPr>
              <w:pStyle w:val="ListParagraph"/>
              <w:spacing w:after="0" w:line="240" w:lineRule="auto"/>
              <w:ind w:left="0"/>
              <w:jc w:val="right"/>
              <w:rPr>
                <w:rFonts w:ascii="Times New Roman" w:hAnsi="Times New Roman"/>
                <w:b/>
                <w:sz w:val="24"/>
                <w:szCs w:val="24"/>
              </w:rPr>
            </w:pPr>
            <w:r w:rsidRPr="005F138D">
              <w:rPr>
                <w:rFonts w:ascii="Times New Roman" w:hAnsi="Times New Roman"/>
                <w:b/>
                <w:sz w:val="24"/>
                <w:szCs w:val="24"/>
              </w:rPr>
              <w:t>40,000,000,000</w:t>
            </w:r>
          </w:p>
        </w:tc>
        <w:tc>
          <w:tcPr>
            <w:tcW w:w="1694" w:type="dxa"/>
          </w:tcPr>
          <w:p w:rsidR="00FE1BAF" w:rsidRPr="005F138D" w:rsidRDefault="00FE1BAF" w:rsidP="00FE1BAF">
            <w:pPr>
              <w:pStyle w:val="ListParagraph"/>
              <w:spacing w:after="0" w:line="240" w:lineRule="auto"/>
              <w:ind w:left="0"/>
              <w:jc w:val="right"/>
              <w:rPr>
                <w:rFonts w:ascii="Times New Roman" w:hAnsi="Times New Roman"/>
                <w:sz w:val="24"/>
                <w:szCs w:val="24"/>
              </w:rPr>
            </w:pPr>
          </w:p>
        </w:tc>
      </w:tr>
    </w:tbl>
    <w:p w:rsidR="00FE1BAF" w:rsidRPr="005F138D" w:rsidRDefault="00FE1BAF" w:rsidP="00FE1BAF">
      <w:pPr>
        <w:rPr>
          <w:rFonts w:ascii="Times New Roman" w:hAnsi="Times New Roman"/>
          <w:sz w:val="24"/>
          <w:szCs w:val="24"/>
        </w:rPr>
      </w:pPr>
    </w:p>
    <w:p w:rsidR="00FE1BAF" w:rsidRPr="005F138D" w:rsidRDefault="00FE1BAF" w:rsidP="00FE1BAF">
      <w:pPr>
        <w:rPr>
          <w:rFonts w:ascii="Times New Roman" w:hAnsi="Times New Roman"/>
          <w:sz w:val="24"/>
          <w:szCs w:val="24"/>
        </w:rPr>
      </w:pPr>
      <w:r w:rsidRPr="005F138D">
        <w:rPr>
          <w:rFonts w:ascii="Times New Roman" w:hAnsi="Times New Roman"/>
          <w:sz w:val="24"/>
          <w:szCs w:val="24"/>
        </w:rPr>
        <w:t>Article 3: Approve the profile to register for share issuance for existing shareholders according to the statement No.01/ 2020/ TT/ AMV/ DHDCD to propose to the SSC</w:t>
      </w:r>
    </w:p>
    <w:p w:rsidR="00FE1BAF" w:rsidRPr="005F138D" w:rsidRDefault="00FE1BAF" w:rsidP="00FE1BAF">
      <w:pPr>
        <w:rPr>
          <w:rFonts w:ascii="Times New Roman" w:hAnsi="Times New Roman"/>
          <w:sz w:val="24"/>
          <w:szCs w:val="24"/>
        </w:rPr>
      </w:pPr>
      <w:r w:rsidRPr="005F138D">
        <w:rPr>
          <w:rFonts w:ascii="Times New Roman" w:hAnsi="Times New Roman"/>
          <w:sz w:val="24"/>
          <w:szCs w:val="24"/>
        </w:rPr>
        <w:t>Article 4: Implementation</w:t>
      </w:r>
    </w:p>
    <w:p w:rsidR="00FE1BAF" w:rsidRPr="005F138D" w:rsidRDefault="00FE1BAF" w:rsidP="00FE1BAF">
      <w:pPr>
        <w:rPr>
          <w:rFonts w:ascii="Times New Roman" w:hAnsi="Times New Roman"/>
          <w:sz w:val="24"/>
          <w:szCs w:val="24"/>
        </w:rPr>
      </w:pPr>
      <w:r w:rsidRPr="005F138D">
        <w:rPr>
          <w:rFonts w:ascii="Times New Roman" w:hAnsi="Times New Roman"/>
          <w:sz w:val="24"/>
          <w:szCs w:val="24"/>
        </w:rPr>
        <w:t>This Board Resolution is valid from the approval date. Board of Directors, Board of Supervisors and Board of Managers of the Company is responsible for implementing this Board Resolution</w:t>
      </w:r>
      <w:bookmarkEnd w:id="0"/>
    </w:p>
    <w:sectPr w:rsidR="00FE1BAF" w:rsidRPr="005F1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84552"/>
    <w:multiLevelType w:val="hybridMultilevel"/>
    <w:tmpl w:val="3BCEC974"/>
    <w:lvl w:ilvl="0" w:tplc="EC9E06D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3E"/>
    <w:rsid w:val="005F138D"/>
    <w:rsid w:val="007D72C5"/>
    <w:rsid w:val="00862E59"/>
    <w:rsid w:val="00AE4176"/>
    <w:rsid w:val="00F6593E"/>
    <w:rsid w:val="00FE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971DD-C5BB-48FD-9D66-E07E40E8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93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Giang</dc:creator>
  <cp:keywords/>
  <dc:description/>
  <cp:lastModifiedBy>Nguyen Thi Thu Giang</cp:lastModifiedBy>
  <cp:revision>2</cp:revision>
  <dcterms:created xsi:type="dcterms:W3CDTF">2020-09-25T06:36:00Z</dcterms:created>
  <dcterms:modified xsi:type="dcterms:W3CDTF">2020-09-25T07:32:00Z</dcterms:modified>
</cp:coreProperties>
</file>